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Autospacing="0" w:afterAutospacing="0" w:line="360" w:lineRule="auto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  <w:t>浙江省重点建设高校优势特色学科（中药学）</w:t>
      </w:r>
    </w:p>
    <w:p>
      <w:pPr>
        <w:spacing w:beforeAutospacing="0" w:afterAutospacing="0" w:line="360" w:lineRule="auto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  <w:t>开放基金申报指南</w:t>
      </w:r>
    </w:p>
    <w:p>
      <w:pPr>
        <w:spacing w:before="627" w:beforeLines="201" w:beforeAutospacing="0"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浙江中医药大学中药学学科为浙江省重点建设高校优势特色学科，主要围绕中药资源与品质提升、中药生物技术与炮制工程、中药药效物质基础与作用机理、中药制剂关键技术与质量控制、中药新产品开发等学科方向开展相关建设。为了进一步推进全国同类学科间交流合作、增进学术交流、增强科学研究和研发能力，现设立学科开放基金，面向国内外高校和研究院所进行公开招标，接受中药学相关课题研究的申请。</w:t>
      </w:r>
    </w:p>
    <w:p>
      <w:pPr>
        <w:spacing w:before="100" w:beforeAutospacing="1" w:line="360" w:lineRule="auto"/>
        <w:ind w:firstLine="602" w:firstLineChars="200"/>
        <w:jc w:val="both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一、资助领域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围绕中药学学科前沿的关键科学问题，尤其是浙江省中药产业(品质提升、饮片加工、新产品开发、中成药生产等)等迫切需要解决的关键科技问题。重点资助以下研究领域：</w:t>
      </w:r>
    </w:p>
    <w:p>
      <w:pPr>
        <w:numPr>
          <w:ilvl w:val="0"/>
          <w:numId w:val="1"/>
        </w:num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中药资源与品质提升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2. 中药生物技术与炮制工程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3. 中药药效物质基础与作用机理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4. 中药制剂关键技术与质量控制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5. 中药新产品开发</w:t>
      </w:r>
    </w:p>
    <w:p>
      <w:pPr>
        <w:spacing w:before="100" w:beforeAutospacing="1" w:line="360" w:lineRule="auto"/>
        <w:ind w:firstLine="602" w:firstLineChars="200"/>
        <w:jc w:val="both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二、资助类型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1. 重点项目：研究周期为3年，资助金额8-10万元。</w:t>
      </w:r>
    </w:p>
    <w:p>
      <w:pPr>
        <w:spacing w:afterAutospacing="0"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2. 一般项目：研究周期为2年，资助金额3-5万元。</w:t>
      </w:r>
    </w:p>
    <w:p>
      <w:pPr>
        <w:spacing w:before="223" w:beforeLines="71" w:beforeAutospacing="0" w:line="360" w:lineRule="auto"/>
        <w:ind w:firstLine="602" w:firstLineChars="200"/>
        <w:jc w:val="both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三、申报说明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1. 申请者及项目组成员应具备实施该项目的研究能力、研究时间及研究条件，同时在相应研究方向上已具有较好的研究基础。项目研究目标和内容与学科研究方向互补性强、支撑作用突出的，可以优先考虑。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2. 申请者一般应具有博士学位或副高及以上专业技术职称，其他申请者需有2名具有高级职称的同行专家书面推荐。同等条件下，重点资助35周岁以下具有博士学位的青年学者。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 xml:space="preserve">3. 结题要求： 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重点项目结题需满足以下要求：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发表SCI收录论文（IF≥3）2篇及以上，浙江中医药大学为第一署名单位；或至少发表临床医学、药理学与毒理学ESI学科期刊收录论文2篇（累计IF≥8），浙江中医药大学单位署名排前2名。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一般项目结题需满足以下要求：</w:t>
      </w:r>
    </w:p>
    <w:p>
      <w:pPr>
        <w:pStyle w:val="6"/>
        <w:spacing w:line="360" w:lineRule="auto"/>
        <w:ind w:firstLine="48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发表SCI收录论文（IF≥2）1篇及以上，浙江中医药大学为第一署名单位；或至少发表临床医学、药理学与毒理学ESI学科期刊收录论文1篇（IF≥3），浙江中医药大学单位署名排前3名。</w:t>
      </w:r>
    </w:p>
    <w:p>
      <w:pPr>
        <w:spacing w:afterAutospacing="0"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 xml:space="preserve">4. 省重点建设高校优势特色学科开放基金：项目成果必须在论文中标注“浙江中医药大学省重点建设高校优势特色学科（中药学）开放基金资助（No.****）”或“Supported by Opening Project of Zhejiang Provincial  Preponderant and Characteristic Subject of Key 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0"/>
          <w:szCs w:val="30"/>
        </w:rPr>
        <w:t>University (Traditional Chinese Pharmacology)，Zhejiang Chinese Medical University（No.****）”字样，正式发表或出版后须将相关成果材料送交本学科存档。</w:t>
      </w:r>
    </w:p>
    <w:p>
      <w:pPr>
        <w:spacing w:before="159" w:beforeLines="50" w:beforeAutospacing="0" w:line="360" w:lineRule="auto"/>
        <w:ind w:firstLine="602" w:firstLineChars="200"/>
        <w:jc w:val="both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四、申报说明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1. 鼓励跨学科、跨部门的联合研究，鼓励国际合作研究。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2. 开放基金项目负责人应按相关规定和项目实施需要编制经费预算，严格按照预算执行。项目经费一般限列支材料费、测试化验加工费、燃料动力费、差旅费、出版/文献/信息传播/知识产权事务费、人员劳务费、专家咨询费，参照《浙江中医药大学科研项目经费管理办法》（浙中大发〔2015〕170号）执行。</w:t>
      </w:r>
    </w:p>
    <w:p>
      <w:pPr>
        <w:spacing w:afterAutospacing="0"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3. 申请者依据重点资助的研究领域，填写《浙江省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重点建设高校优势特色学科</w:t>
      </w:r>
      <w:r>
        <w:rPr>
          <w:rFonts w:hint="default" w:ascii="Times New Roman" w:hAnsi="Times New Roman" w:eastAsia="仿宋" w:cs="Times New Roman"/>
          <w:sz w:val="30"/>
          <w:szCs w:val="30"/>
        </w:rPr>
        <w:t>（中药学）开放基金申请书》，经所在单位签署意见，加盖公章后一式</w:t>
      </w:r>
      <w:r>
        <w:rPr>
          <w:rFonts w:hint="eastAsia" w:ascii="Times New Roman" w:hAnsi="Times New Roman" w:eastAsia="仿宋" w:cs="Times New Roman"/>
          <w:sz w:val="30"/>
          <w:szCs w:val="30"/>
          <w:lang w:eastAsia="zh-CN"/>
        </w:rPr>
        <w:t>三</w:t>
      </w:r>
      <w:r>
        <w:rPr>
          <w:rFonts w:hint="default" w:ascii="Times New Roman" w:hAnsi="Times New Roman" w:eastAsia="仿宋" w:cs="Times New Roman"/>
          <w:sz w:val="30"/>
          <w:szCs w:val="30"/>
        </w:rPr>
        <w:t>份寄到本学科，并将电子文档发送到邮箱zql20161065@zcmu.edu.cn。</w:t>
      </w:r>
    </w:p>
    <w:p>
      <w:pPr>
        <w:spacing w:before="159" w:beforeLines="50" w:beforeAutospacing="0" w:line="360" w:lineRule="auto"/>
        <w:ind w:firstLine="602" w:firstLineChars="200"/>
        <w:jc w:val="both"/>
        <w:rPr>
          <w:rFonts w:hint="default" w:ascii="Times New Roman" w:hAnsi="Times New Roman" w:eastAsia="仿宋" w:cs="Times New Roman"/>
          <w:b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sz w:val="30"/>
          <w:szCs w:val="30"/>
        </w:rPr>
        <w:t>五、联系方式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地  址：浙江省杭州市富阳区高科路浙江中医药大学富春校区药学院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邮  编：310050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联系人：张泉龙，胡俊江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联系电话：13588252855，18858160792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仿宋" w:cs="Times New Roman"/>
          <w:sz w:val="30"/>
          <w:szCs w:val="30"/>
        </w:rPr>
        <w:t>E-mail：zql20161065@zcmu.edu.cn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6BE2C"/>
    <w:multiLevelType w:val="singleLevel"/>
    <w:tmpl w:val="A0F6BE2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67"/>
    <w:rsid w:val="00021DC2"/>
    <w:rsid w:val="0005474E"/>
    <w:rsid w:val="00062D80"/>
    <w:rsid w:val="00147DC1"/>
    <w:rsid w:val="00173BA9"/>
    <w:rsid w:val="001A672D"/>
    <w:rsid w:val="001B5BDA"/>
    <w:rsid w:val="00286750"/>
    <w:rsid w:val="002F268C"/>
    <w:rsid w:val="0033155E"/>
    <w:rsid w:val="00365080"/>
    <w:rsid w:val="00370CF3"/>
    <w:rsid w:val="00376F69"/>
    <w:rsid w:val="00422074"/>
    <w:rsid w:val="00445960"/>
    <w:rsid w:val="004505DF"/>
    <w:rsid w:val="00480A5C"/>
    <w:rsid w:val="004918D5"/>
    <w:rsid w:val="00515E4A"/>
    <w:rsid w:val="005436DF"/>
    <w:rsid w:val="00574FFA"/>
    <w:rsid w:val="005F4F67"/>
    <w:rsid w:val="006532A3"/>
    <w:rsid w:val="00691057"/>
    <w:rsid w:val="006A123E"/>
    <w:rsid w:val="006F0C46"/>
    <w:rsid w:val="006F411A"/>
    <w:rsid w:val="006F74E0"/>
    <w:rsid w:val="00711F66"/>
    <w:rsid w:val="00753A0F"/>
    <w:rsid w:val="00755CD4"/>
    <w:rsid w:val="00762BC3"/>
    <w:rsid w:val="007647BC"/>
    <w:rsid w:val="00793C1C"/>
    <w:rsid w:val="007B6DC7"/>
    <w:rsid w:val="00870943"/>
    <w:rsid w:val="008C0A04"/>
    <w:rsid w:val="00914D4A"/>
    <w:rsid w:val="00920172"/>
    <w:rsid w:val="009559EB"/>
    <w:rsid w:val="00975AEC"/>
    <w:rsid w:val="009776F8"/>
    <w:rsid w:val="00992587"/>
    <w:rsid w:val="009D7A52"/>
    <w:rsid w:val="009F7186"/>
    <w:rsid w:val="00A0722C"/>
    <w:rsid w:val="00A13734"/>
    <w:rsid w:val="00A457EC"/>
    <w:rsid w:val="00A66D23"/>
    <w:rsid w:val="00B2510C"/>
    <w:rsid w:val="00B45013"/>
    <w:rsid w:val="00B52643"/>
    <w:rsid w:val="00B83B55"/>
    <w:rsid w:val="00BE7FB3"/>
    <w:rsid w:val="00C40460"/>
    <w:rsid w:val="00C425BC"/>
    <w:rsid w:val="00C6526E"/>
    <w:rsid w:val="00CB3CAF"/>
    <w:rsid w:val="00CB7F81"/>
    <w:rsid w:val="00CD5183"/>
    <w:rsid w:val="00D07F92"/>
    <w:rsid w:val="00D60E71"/>
    <w:rsid w:val="00D77163"/>
    <w:rsid w:val="00D8625E"/>
    <w:rsid w:val="00E27556"/>
    <w:rsid w:val="00ED5DC8"/>
    <w:rsid w:val="00F00E26"/>
    <w:rsid w:val="00F32E55"/>
    <w:rsid w:val="00F723BF"/>
    <w:rsid w:val="00FA408A"/>
    <w:rsid w:val="04466A6D"/>
    <w:rsid w:val="1A33257D"/>
    <w:rsid w:val="40AA24D3"/>
    <w:rsid w:val="484D4985"/>
    <w:rsid w:val="4AE8019E"/>
    <w:rsid w:val="58736523"/>
    <w:rsid w:val="5CE52D73"/>
    <w:rsid w:val="5DD4532E"/>
    <w:rsid w:val="5E571CC3"/>
    <w:rsid w:val="6B370962"/>
    <w:rsid w:val="72F5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238</Words>
  <Characters>1359</Characters>
  <Lines>11</Lines>
  <Paragraphs>3</Paragraphs>
  <TotalTime>36</TotalTime>
  <ScaleCrop>false</ScaleCrop>
  <LinksUpToDate>false</LinksUpToDate>
  <CharactersWithSpaces>1594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2018-08-10T13:02:00Z</dcterms:created>
  <dc:creator>裘佳寅</dc:creator>
  <cp:lastModifiedBy>Administrator</cp:lastModifiedBy>
  <dcterms:modified xsi:type="dcterms:W3CDTF">2018-09-04T00:20:55Z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